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982A" w14:textId="77777777" w:rsidR="005A0E49" w:rsidRPr="00CD2F8B" w:rsidRDefault="005A0E49" w:rsidP="005A0E49">
      <w:pPr>
        <w:pStyle w:val="Overskrift2"/>
        <w:rPr>
          <w:b/>
          <w:bCs/>
          <w:sz w:val="30"/>
          <w:szCs w:val="30"/>
        </w:rPr>
      </w:pPr>
      <w:r w:rsidRPr="00CD2F8B">
        <w:rPr>
          <w:rFonts w:eastAsia="Calibri"/>
          <w:b/>
          <w:bCs/>
          <w:color w:val="FF0000"/>
          <w:sz w:val="30"/>
          <w:szCs w:val="30"/>
        </w:rPr>
        <w:t xml:space="preserve">Opgave 12 </w:t>
      </w:r>
      <w:r w:rsidRPr="00CD2F8B">
        <w:rPr>
          <w:rFonts w:eastAsia="Calibri"/>
          <w:b/>
          <w:bCs/>
          <w:sz w:val="30"/>
          <w:szCs w:val="30"/>
        </w:rPr>
        <w:t xml:space="preserve">Dommen over 93-årige Bruno Dey </w:t>
      </w:r>
    </w:p>
    <w:p w14:paraId="72876928" w14:textId="77777777" w:rsidR="005A0E49" w:rsidRDefault="005A0E49" w:rsidP="005A0E4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denne opgave skal du forholde dig til retsforfølgelse af gerningsmænd fra Holocaust – mange årtier efter anden verdenskrigs afslutning. </w:t>
      </w:r>
    </w:p>
    <w:p w14:paraId="4FDA24EF" w14:textId="77777777" w:rsidR="005A0E49" w:rsidRPr="002E5FAE" w:rsidRDefault="005A0E49" w:rsidP="005A0E49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2E5FAE">
        <w:rPr>
          <w:rFonts w:ascii="Calibri" w:eastAsia="Calibri" w:hAnsi="Calibri" w:cs="Calibri"/>
          <w:b/>
          <w:bCs/>
          <w:sz w:val="24"/>
          <w:szCs w:val="24"/>
        </w:rPr>
        <w:t>Baggrund</w:t>
      </w:r>
    </w:p>
    <w:p w14:paraId="7EC7B2F9" w14:textId="77777777" w:rsidR="005A0E49" w:rsidRDefault="005A0E49" w:rsidP="005A0E4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2020 blev den 93-årige tysker Bruno </w:t>
      </w:r>
      <w:proofErr w:type="spellStart"/>
      <w:r>
        <w:rPr>
          <w:rFonts w:ascii="Calibri" w:eastAsia="Calibri" w:hAnsi="Calibri" w:cs="Calibri"/>
          <w:sz w:val="24"/>
          <w:szCs w:val="24"/>
        </w:rPr>
        <w:t>Dey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idømt to års betinget fængsel ved en domstol i Hamborg. Baggrunden var, at han under anden verdenskrig gjorde tjeneste som SS-vagt i kz-lejren </w:t>
      </w:r>
      <w:proofErr w:type="spellStart"/>
      <w:r>
        <w:rPr>
          <w:rFonts w:ascii="Calibri" w:eastAsia="Calibri" w:hAnsi="Calibri" w:cs="Calibri"/>
          <w:sz w:val="24"/>
          <w:szCs w:val="24"/>
        </w:rPr>
        <w:t>Stutthof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hvor 65.000 ud af 110.000 fanger mistede livet. Dommeren lagde dommeren vægt på, at Bruno </w:t>
      </w:r>
      <w:proofErr w:type="spellStart"/>
      <w:r>
        <w:rPr>
          <w:rFonts w:ascii="Calibri" w:eastAsia="Calibri" w:hAnsi="Calibri" w:cs="Calibri"/>
          <w:sz w:val="24"/>
          <w:szCs w:val="24"/>
        </w:rPr>
        <w:t>Dey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som vagt må have været meddelagtig i dra</w:t>
      </w:r>
      <w:r>
        <w:rPr>
          <w:rFonts w:ascii="Calibri" w:eastAsia="Calibri" w:hAnsi="Calibri" w:cs="Calibri"/>
          <w:sz w:val="24"/>
          <w:szCs w:val="24"/>
        </w:rPr>
        <w:softHyphen/>
        <w:t>bene. Det betyder, at dommeren mente, at han måtte have haft kendskab til og havde del</w:t>
      </w:r>
      <w:r>
        <w:rPr>
          <w:rFonts w:ascii="Calibri" w:eastAsia="Calibri" w:hAnsi="Calibri" w:cs="Calibri"/>
          <w:sz w:val="24"/>
          <w:szCs w:val="24"/>
        </w:rPr>
        <w:softHyphen/>
        <w:t>taget i forbrydelserne. Selv forsvarede Bruno Day sig med, at han dengang var 17 år gammel og kun gjorde tjeneste i lejren, fordi han havde dårligt hjerte og ikke kunne sendes til fron</w:t>
      </w:r>
      <w:r>
        <w:rPr>
          <w:rFonts w:ascii="Calibri" w:eastAsia="Calibri" w:hAnsi="Calibri" w:cs="Calibri"/>
          <w:sz w:val="24"/>
          <w:szCs w:val="24"/>
        </w:rPr>
        <w:softHyphen/>
        <w:t xml:space="preserve">ten. Han forklarede desuden, at han havde haft medfølelse med fangerne, men ikke havde været i en situation, hvor han kunne hjælpe dem. </w:t>
      </w:r>
    </w:p>
    <w:p w14:paraId="4E29E59B" w14:textId="77777777" w:rsidR="005A0E49" w:rsidRPr="00CD5F8A" w:rsidRDefault="005A0E49" w:rsidP="005A0E4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Efter retssagen blev anklageren spurgt, om det er meningsfuldt at retsforfølge folk for forbry</w:t>
      </w:r>
      <w:r>
        <w:rPr>
          <w:rFonts w:ascii="Calibri" w:eastAsia="Calibri" w:hAnsi="Calibri" w:cs="Calibri"/>
          <w:sz w:val="24"/>
          <w:szCs w:val="24"/>
        </w:rPr>
        <w:softHyphen/>
        <w:t>del</w:t>
      </w:r>
      <w:r>
        <w:rPr>
          <w:rFonts w:ascii="Calibri" w:eastAsia="Calibri" w:hAnsi="Calibri" w:cs="Calibri"/>
          <w:sz w:val="24"/>
          <w:szCs w:val="24"/>
        </w:rPr>
        <w:softHyphen/>
        <w:t xml:space="preserve">ser, der ligger så mange år tilbage. Han svarede: ”Hvis man kigger på hvor mange onde gerninger og forbrydelser, der foregik, kan man vist godt regne ud, hvorfor disse mennesker er nødt til at blive stillet for retten – også selvom de nu er blevet gamle. Tyskland skylder ofre og pårørende at retsforfølge disse nazi-forbrydelser </w:t>
      </w:r>
      <w:r>
        <w:rPr>
          <w:rFonts w:ascii="Calibri" w:eastAsia="Calibri" w:hAnsi="Calibri" w:cs="Calibri"/>
          <w:sz w:val="24"/>
          <w:szCs w:val="24"/>
          <w:highlight w:val="white"/>
        </w:rPr>
        <w:t>–</w:t>
      </w:r>
      <w:r>
        <w:rPr>
          <w:rFonts w:ascii="Calibri" w:eastAsia="Calibri" w:hAnsi="Calibri" w:cs="Calibri"/>
          <w:sz w:val="24"/>
          <w:szCs w:val="24"/>
        </w:rPr>
        <w:t xml:space="preserve"> selv i dag. Det er et juridisk og moralsk spørgsmål.”</w:t>
      </w:r>
    </w:p>
    <w:p w14:paraId="385A3B8F" w14:textId="77777777" w:rsidR="005A0E49" w:rsidRDefault="005A0E49" w:rsidP="005A0E49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Opgave </w:t>
      </w:r>
    </w:p>
    <w:p w14:paraId="78ABA507" w14:textId="77777777" w:rsidR="005A0E49" w:rsidRDefault="005A0E49" w:rsidP="005A0E49">
      <w:pPr>
        <w:pStyle w:val="Listeafsnit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F56D19">
        <w:rPr>
          <w:rFonts w:ascii="Calibri" w:eastAsia="Calibri" w:hAnsi="Calibri" w:cs="Calibri"/>
          <w:sz w:val="24"/>
          <w:szCs w:val="24"/>
        </w:rPr>
        <w:t xml:space="preserve">Hvordan forklarer Bruno </w:t>
      </w:r>
      <w:proofErr w:type="spellStart"/>
      <w:r w:rsidRPr="00F56D19">
        <w:rPr>
          <w:rFonts w:ascii="Calibri" w:eastAsia="Calibri" w:hAnsi="Calibri" w:cs="Calibri"/>
          <w:sz w:val="24"/>
          <w:szCs w:val="24"/>
        </w:rPr>
        <w:t>Dey</w:t>
      </w:r>
      <w:proofErr w:type="spellEnd"/>
      <w:r w:rsidRPr="00F56D19">
        <w:rPr>
          <w:rFonts w:ascii="Calibri" w:eastAsia="Calibri" w:hAnsi="Calibri" w:cs="Calibri"/>
          <w:sz w:val="24"/>
          <w:szCs w:val="24"/>
        </w:rPr>
        <w:t xml:space="preserve"> sin situation under krigen, og hvorfor han gjorde tjene</w:t>
      </w:r>
      <w:r>
        <w:rPr>
          <w:rFonts w:ascii="Calibri" w:eastAsia="Calibri" w:hAnsi="Calibri" w:cs="Calibri"/>
          <w:sz w:val="24"/>
          <w:szCs w:val="24"/>
        </w:rPr>
        <w:softHyphen/>
      </w:r>
      <w:r w:rsidRPr="00F56D19">
        <w:rPr>
          <w:rFonts w:ascii="Calibri" w:eastAsia="Calibri" w:hAnsi="Calibri" w:cs="Calibri"/>
          <w:sz w:val="24"/>
          <w:szCs w:val="24"/>
        </w:rPr>
        <w:t xml:space="preserve">ste i </w:t>
      </w:r>
      <w:r>
        <w:rPr>
          <w:rFonts w:ascii="Calibri" w:eastAsia="Calibri" w:hAnsi="Calibri" w:cs="Calibri"/>
          <w:sz w:val="24"/>
          <w:szCs w:val="24"/>
        </w:rPr>
        <w:t xml:space="preserve">kz-lejren </w:t>
      </w:r>
      <w:proofErr w:type="spellStart"/>
      <w:r w:rsidRPr="00F56D19">
        <w:rPr>
          <w:rFonts w:ascii="Calibri" w:eastAsia="Calibri" w:hAnsi="Calibri" w:cs="Calibri"/>
          <w:sz w:val="24"/>
          <w:szCs w:val="24"/>
        </w:rPr>
        <w:t>Stutthof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43B0847F" w14:textId="77777777" w:rsidR="005A0E49" w:rsidRDefault="005A0E49" w:rsidP="005A0E49">
      <w:pPr>
        <w:pStyle w:val="Listeafsnit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CD5F8A">
        <w:rPr>
          <w:rFonts w:ascii="Calibri" w:eastAsia="Calibri" w:hAnsi="Calibri" w:cs="Calibri"/>
          <w:sz w:val="24"/>
          <w:szCs w:val="24"/>
        </w:rPr>
        <w:t>Diskutér om hans forklaring gør en forskel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Pr="00CD5F8A">
        <w:rPr>
          <w:rFonts w:ascii="Calibri" w:eastAsia="Calibri" w:hAnsi="Calibri" w:cs="Calibri"/>
          <w:sz w:val="24"/>
          <w:szCs w:val="24"/>
        </w:rPr>
        <w:t>Sammenhold hans forsvars</w:t>
      </w:r>
      <w:r w:rsidRPr="00CD5F8A">
        <w:rPr>
          <w:rFonts w:ascii="Calibri" w:eastAsia="Calibri" w:hAnsi="Calibri" w:cs="Calibri"/>
          <w:sz w:val="24"/>
          <w:szCs w:val="24"/>
        </w:rPr>
        <w:softHyphen/>
        <w:t xml:space="preserve">argument med Nürnbergprincippet s. 152. </w:t>
      </w:r>
    </w:p>
    <w:p w14:paraId="5E7AA599" w14:textId="1F02A63F" w:rsidR="00D5181F" w:rsidRPr="005A0E49" w:rsidRDefault="005A0E49" w:rsidP="005A0E49">
      <w:pPr>
        <w:pStyle w:val="Listeafsnit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5A0E49">
        <w:rPr>
          <w:rFonts w:ascii="Calibri" w:eastAsia="Calibri" w:hAnsi="Calibri" w:cs="Calibri"/>
          <w:sz w:val="24"/>
          <w:szCs w:val="24"/>
        </w:rPr>
        <w:t>Juridisk er der ingen forældelsesfrist for en forbrydelse som folkedrab. Diskutér, om gerningsmænd fra Holocaust stadig bør retsforfølges i dag. Inddrag citatet fra anklag</w:t>
      </w:r>
      <w:r w:rsidRPr="005A0E49">
        <w:rPr>
          <w:rFonts w:ascii="Calibri" w:eastAsia="Calibri" w:hAnsi="Calibri" w:cs="Calibri"/>
          <w:sz w:val="24"/>
          <w:szCs w:val="24"/>
        </w:rPr>
        <w:softHyphen/>
        <w:t>eren om, at Tyskland skylder ofre og pårørende at retsforfølge gerningsmændene.</w:t>
      </w:r>
    </w:p>
    <w:sectPr w:rsidR="00D5181F" w:rsidRPr="005A0E49" w:rsidSect="00B1133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77797"/>
    <w:multiLevelType w:val="hybridMultilevel"/>
    <w:tmpl w:val="60C02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14EC0"/>
    <w:multiLevelType w:val="multilevel"/>
    <w:tmpl w:val="D70EF4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44271123">
    <w:abstractNumId w:val="1"/>
  </w:num>
  <w:num w:numId="2" w16cid:durableId="131340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A5"/>
    <w:rsid w:val="001218A5"/>
    <w:rsid w:val="005A0E49"/>
    <w:rsid w:val="00B11332"/>
    <w:rsid w:val="00D5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024D9"/>
  <w15:chartTrackingRefBased/>
  <w15:docId w15:val="{FB954478-1C36-5340-A396-280F8176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8A5"/>
    <w:pPr>
      <w:spacing w:before="100" w:after="200" w:line="276" w:lineRule="auto"/>
    </w:pPr>
    <w:rPr>
      <w:rFonts w:eastAsiaTheme="minorEastAsia"/>
      <w:sz w:val="20"/>
      <w:szCs w:val="20"/>
      <w:lang w:val="da"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18A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218A5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val="da" w:eastAsia="da-DK"/>
    </w:rPr>
  </w:style>
  <w:style w:type="paragraph" w:styleId="Listeafsnit">
    <w:name w:val="List Paragraph"/>
    <w:basedOn w:val="Normal"/>
    <w:uiPriority w:val="34"/>
    <w:qFormat/>
    <w:rsid w:val="005A0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Frederik Sølvsten</cp:lastModifiedBy>
  <cp:revision>2</cp:revision>
  <dcterms:created xsi:type="dcterms:W3CDTF">2023-03-08T10:15:00Z</dcterms:created>
  <dcterms:modified xsi:type="dcterms:W3CDTF">2023-03-08T10:15:00Z</dcterms:modified>
</cp:coreProperties>
</file>