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14A3" w14:textId="77777777" w:rsidR="00046DA6" w:rsidRPr="00B8758A" w:rsidRDefault="00046DA6" w:rsidP="00046DA6">
      <w:pPr>
        <w:pStyle w:val="Overskrift2"/>
        <w:rPr>
          <w:rStyle w:val="Overskrift2Tegn"/>
          <w:b/>
          <w:bCs/>
          <w:caps/>
          <w:color w:val="FF0000"/>
          <w:sz w:val="30"/>
          <w:szCs w:val="30"/>
        </w:rPr>
      </w:pPr>
      <w:r w:rsidRPr="00D27BC7">
        <w:rPr>
          <w:rStyle w:val="Overskrift2Tegn"/>
          <w:b/>
          <w:bCs/>
          <w:color w:val="FF0000"/>
          <w:sz w:val="30"/>
          <w:szCs w:val="30"/>
        </w:rPr>
        <w:t>Opgave 13</w:t>
      </w:r>
      <w:r>
        <w:rPr>
          <w:rStyle w:val="Overskrift2Tegn"/>
          <w:b/>
          <w:bCs/>
          <w:color w:val="FF0000"/>
          <w:sz w:val="30"/>
          <w:szCs w:val="30"/>
        </w:rPr>
        <w:t xml:space="preserve"> </w:t>
      </w:r>
      <w:r w:rsidRPr="00D27BC7">
        <w:rPr>
          <w:rStyle w:val="Overskrift2Tegn"/>
          <w:b/>
          <w:bCs/>
          <w:sz w:val="30"/>
          <w:szCs w:val="30"/>
        </w:rPr>
        <w:t>Var Nürnbergdomstolen en sejrherre-domstol?</w:t>
      </w:r>
    </w:p>
    <w:p w14:paraId="2B857301" w14:textId="77777777" w:rsidR="00046DA6" w:rsidRDefault="00046DA6" w:rsidP="00046DA6">
      <w:pPr>
        <w:rPr>
          <w:rFonts w:asciiTheme="majorHAnsi" w:eastAsia="Calibri" w:hAnsiTheme="majorHAnsi" w:cstheme="majorHAnsi"/>
          <w:sz w:val="24"/>
          <w:szCs w:val="24"/>
        </w:rPr>
      </w:pPr>
      <w:r w:rsidRPr="00066E7F">
        <w:rPr>
          <w:rStyle w:val="Overskrift2Tegn"/>
        </w:rPr>
        <w:br/>
      </w:r>
      <w:r>
        <w:rPr>
          <w:rFonts w:asciiTheme="majorHAnsi" w:eastAsia="Calibri" w:hAnsiTheme="majorHAnsi" w:cstheme="majorHAnsi"/>
          <w:sz w:val="24"/>
          <w:szCs w:val="24"/>
        </w:rPr>
        <w:t>I denne opgave skal du forholde dig til nogle af de kritikpunkter, som er blevet rejst i forbin</w:t>
      </w:r>
      <w:r>
        <w:rPr>
          <w:rFonts w:asciiTheme="majorHAnsi" w:eastAsia="Calibri" w:hAnsiTheme="majorHAnsi" w:cstheme="majorHAnsi"/>
          <w:sz w:val="24"/>
          <w:szCs w:val="24"/>
        </w:rPr>
        <w:softHyphen/>
        <w:t xml:space="preserve">delse med retsopgøret i Nürnberg efter anden verdenskrig. </w:t>
      </w:r>
    </w:p>
    <w:p w14:paraId="3999B346" w14:textId="77777777" w:rsidR="00046DA6" w:rsidRPr="007D713A" w:rsidRDefault="00046DA6" w:rsidP="00046DA6">
      <w:pPr>
        <w:spacing w:after="0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D713A">
        <w:rPr>
          <w:rFonts w:asciiTheme="majorHAnsi" w:eastAsia="Calibri" w:hAnsiTheme="majorHAnsi" w:cstheme="majorHAnsi"/>
          <w:b/>
          <w:bCs/>
          <w:sz w:val="24"/>
          <w:szCs w:val="24"/>
        </w:rPr>
        <w:t>Baggrund</w:t>
      </w:r>
    </w:p>
    <w:p w14:paraId="587F49F6" w14:textId="77777777" w:rsidR="00046DA6" w:rsidRPr="00965E13" w:rsidRDefault="00046DA6" w:rsidP="00046DA6">
      <w:pPr>
        <w:rPr>
          <w:rFonts w:asciiTheme="majorHAnsi" w:eastAsia="Calibri" w:hAnsiTheme="majorHAnsi" w:cstheme="majorHAnsi"/>
          <w:b/>
          <w:color w:val="FF0000"/>
          <w:sz w:val="24"/>
          <w:szCs w:val="24"/>
        </w:rPr>
      </w:pPr>
      <w:r w:rsidRPr="00965E13">
        <w:rPr>
          <w:rFonts w:asciiTheme="majorHAnsi" w:eastAsia="Calibri" w:hAnsiTheme="majorHAnsi" w:cstheme="majorHAnsi"/>
          <w:sz w:val="24"/>
          <w:szCs w:val="24"/>
        </w:rPr>
        <w:t>Retssagerne i Nürnberg er blandt historiens mest omdiskuterede, bl.a. fordi de på flere måder udfordrede universelle principper for retfærdighed. Domstolen er både blevet kriti</w:t>
      </w:r>
      <w:r>
        <w:rPr>
          <w:rFonts w:asciiTheme="majorHAnsi" w:eastAsia="Calibri" w:hAnsiTheme="majorHAnsi" w:cstheme="majorHAnsi"/>
          <w:sz w:val="24"/>
          <w:szCs w:val="24"/>
        </w:rPr>
        <w:softHyphen/>
      </w:r>
      <w:r w:rsidRPr="00965E13">
        <w:rPr>
          <w:rFonts w:asciiTheme="majorHAnsi" w:eastAsia="Calibri" w:hAnsiTheme="majorHAnsi" w:cstheme="majorHAnsi"/>
          <w:sz w:val="24"/>
          <w:szCs w:val="24"/>
        </w:rPr>
        <w:t>seret for at dømme efter love med tilbagevirkende kraft og for at være en såkaldt sejrherre</w:t>
      </w:r>
      <w:r>
        <w:rPr>
          <w:rFonts w:asciiTheme="majorHAnsi" w:eastAsia="Calibri" w:hAnsiTheme="majorHAnsi" w:cstheme="majorHAnsi"/>
          <w:sz w:val="24"/>
          <w:szCs w:val="24"/>
        </w:rPr>
        <w:softHyphen/>
      </w:r>
      <w:r w:rsidRPr="00965E13">
        <w:rPr>
          <w:rFonts w:asciiTheme="majorHAnsi" w:eastAsia="Calibri" w:hAnsiTheme="majorHAnsi" w:cstheme="majorHAnsi"/>
          <w:sz w:val="24"/>
          <w:szCs w:val="24"/>
        </w:rPr>
        <w:t>domstol. Det vil sige en domstol, hvor sejrherrerne dømmer krigens tabende part uden at se på sine egne forbrydelser. Kriti</w:t>
      </w:r>
      <w:r>
        <w:rPr>
          <w:rFonts w:asciiTheme="majorHAnsi" w:eastAsia="Calibri" w:hAnsiTheme="majorHAnsi" w:cstheme="majorHAnsi"/>
          <w:sz w:val="24"/>
          <w:szCs w:val="24"/>
        </w:rPr>
        <w:t>kere har påpeget</w:t>
      </w:r>
      <w:r w:rsidRPr="00965E13">
        <w:rPr>
          <w:rFonts w:asciiTheme="majorHAnsi" w:eastAsia="Calibri" w:hAnsiTheme="majorHAnsi" w:cstheme="majorHAnsi"/>
          <w:sz w:val="24"/>
          <w:szCs w:val="24"/>
        </w:rPr>
        <w:t>, at domstolen udelukkende gjorde op med krigsforbrydelser begået på tysk side</w:t>
      </w:r>
      <w:r>
        <w:rPr>
          <w:rFonts w:asciiTheme="majorHAnsi" w:eastAsia="Calibri" w:hAnsiTheme="majorHAnsi" w:cstheme="majorHAnsi"/>
          <w:sz w:val="24"/>
          <w:szCs w:val="24"/>
        </w:rPr>
        <w:t>;</w:t>
      </w:r>
      <w:r w:rsidRPr="00965E13">
        <w:rPr>
          <w:rFonts w:asciiTheme="majorHAnsi" w:eastAsia="Calibri" w:hAnsiTheme="majorHAnsi" w:cstheme="majorHAnsi"/>
          <w:sz w:val="24"/>
          <w:szCs w:val="24"/>
        </w:rPr>
        <w:t xml:space="preserve"> men at de allierede tropper også begik forbrydelser. Fx stod Sovjetunionen bag massakren på 15-20.000 polske officerer i </w:t>
      </w:r>
      <w:proofErr w:type="spellStart"/>
      <w:r w:rsidRPr="00965E13">
        <w:rPr>
          <w:rFonts w:asciiTheme="majorHAnsi" w:eastAsia="Calibri" w:hAnsiTheme="majorHAnsi" w:cstheme="majorHAnsi"/>
          <w:sz w:val="24"/>
          <w:szCs w:val="24"/>
        </w:rPr>
        <w:t>Katyn</w:t>
      </w:r>
      <w:proofErr w:type="spellEnd"/>
      <w:r w:rsidRPr="00965E13">
        <w:rPr>
          <w:rFonts w:asciiTheme="majorHAnsi" w:eastAsia="Calibri" w:hAnsiTheme="majorHAnsi" w:cstheme="majorHAnsi"/>
          <w:sz w:val="24"/>
          <w:szCs w:val="24"/>
        </w:rPr>
        <w:t xml:space="preserve"> i 1940. I slutningen af krigen kostede amerikanske atombomber over Japan op mod 400.000 mennesker livet. Begge hændelser er sidenhen blevet karakteriseret som krigsforbrydelser.  </w:t>
      </w:r>
    </w:p>
    <w:p w14:paraId="264551CA" w14:textId="77777777" w:rsidR="00046DA6" w:rsidRDefault="00046DA6" w:rsidP="00046DA6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Opgave</w:t>
      </w:r>
    </w:p>
    <w:p w14:paraId="46CE5D2A" w14:textId="77777777" w:rsidR="00046DA6" w:rsidRDefault="00046DA6" w:rsidP="00046DA6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Diskuter, hvorfor Nürnbergdomstolen kun gjorde op med tyske krigsforbrydelser.</w:t>
      </w:r>
    </w:p>
    <w:p w14:paraId="5E7AA599" w14:textId="54832925" w:rsidR="00D5181F" w:rsidRPr="00046DA6" w:rsidRDefault="00046DA6" w:rsidP="00046DA6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00046DA6">
        <w:rPr>
          <w:rFonts w:ascii="Calibri" w:eastAsia="Calibri" w:hAnsi="Calibri" w:cs="Calibri"/>
          <w:sz w:val="24"/>
          <w:szCs w:val="24"/>
        </w:rPr>
        <w:t>Vurdér, om det er et problem for retfærdigheden, at der kun blev gjort op med for</w:t>
      </w:r>
      <w:r w:rsidRPr="00046DA6">
        <w:rPr>
          <w:rFonts w:ascii="Calibri" w:eastAsia="Calibri" w:hAnsi="Calibri" w:cs="Calibri"/>
          <w:sz w:val="24"/>
          <w:szCs w:val="24"/>
        </w:rPr>
        <w:softHyphen/>
        <w:t>brydelser begået på tysk side.</w:t>
      </w:r>
    </w:p>
    <w:sectPr w:rsidR="00D5181F" w:rsidRPr="00046DA6" w:rsidSect="00B1133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77797"/>
    <w:multiLevelType w:val="hybridMultilevel"/>
    <w:tmpl w:val="60C02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B0E98"/>
    <w:multiLevelType w:val="multilevel"/>
    <w:tmpl w:val="3BC0C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014EC0"/>
    <w:multiLevelType w:val="multilevel"/>
    <w:tmpl w:val="D70EF4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D2E64"/>
    <w:multiLevelType w:val="multilevel"/>
    <w:tmpl w:val="E0DACC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4271123">
    <w:abstractNumId w:val="2"/>
  </w:num>
  <w:num w:numId="2" w16cid:durableId="1313409882">
    <w:abstractNumId w:val="0"/>
  </w:num>
  <w:num w:numId="3" w16cid:durableId="824736937">
    <w:abstractNumId w:val="1"/>
  </w:num>
  <w:num w:numId="4" w16cid:durableId="786461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A5"/>
    <w:rsid w:val="00046DA6"/>
    <w:rsid w:val="001218A5"/>
    <w:rsid w:val="005A0E49"/>
    <w:rsid w:val="00B11332"/>
    <w:rsid w:val="00D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024D9"/>
  <w15:chartTrackingRefBased/>
  <w15:docId w15:val="{FB954478-1C36-5340-A396-280F817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A5"/>
    <w:pPr>
      <w:spacing w:before="100" w:after="200" w:line="276" w:lineRule="auto"/>
    </w:pPr>
    <w:rPr>
      <w:rFonts w:eastAsiaTheme="minorEastAsia"/>
      <w:sz w:val="20"/>
      <w:szCs w:val="20"/>
      <w:lang w:val="da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18A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218A5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da" w:eastAsia="da-DK"/>
    </w:rPr>
  </w:style>
  <w:style w:type="paragraph" w:styleId="Listeafsnit">
    <w:name w:val="List Paragraph"/>
    <w:basedOn w:val="Normal"/>
    <w:uiPriority w:val="34"/>
    <w:qFormat/>
    <w:rsid w:val="005A0E49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46DA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46DA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da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Frederik Sølvsten</cp:lastModifiedBy>
  <cp:revision>2</cp:revision>
  <dcterms:created xsi:type="dcterms:W3CDTF">2023-03-08T10:16:00Z</dcterms:created>
  <dcterms:modified xsi:type="dcterms:W3CDTF">2023-03-08T10:16:00Z</dcterms:modified>
</cp:coreProperties>
</file>