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44A3" w14:textId="77777777" w:rsidR="00F84F56" w:rsidRPr="00B34D3A" w:rsidRDefault="00F84F56" w:rsidP="00F84F56">
      <w:pPr>
        <w:pStyle w:val="Overskrift2"/>
        <w:rPr>
          <w:rStyle w:val="Overskrift2Tegn"/>
          <w:b/>
          <w:bCs/>
          <w:caps/>
          <w:sz w:val="30"/>
          <w:szCs w:val="30"/>
        </w:rPr>
      </w:pPr>
      <w:r w:rsidRPr="00B34D3A">
        <w:rPr>
          <w:rStyle w:val="Overskrift2Tegn"/>
          <w:b/>
          <w:bCs/>
          <w:color w:val="FF0000"/>
          <w:sz w:val="30"/>
          <w:szCs w:val="30"/>
        </w:rPr>
        <w:t>Opgave 17</w:t>
      </w:r>
      <w:r w:rsidRPr="00B34D3A">
        <w:rPr>
          <w:rStyle w:val="Overskrift2Tegn"/>
          <w:b/>
          <w:bCs/>
          <w:sz w:val="30"/>
          <w:szCs w:val="30"/>
        </w:rPr>
        <w:t xml:space="preserve"> Hvordan bliver almindelige mennesker til gerningsmænd?</w:t>
      </w:r>
    </w:p>
    <w:p w14:paraId="2D0A06AB" w14:textId="77777777"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r>
        <w:rPr>
          <w:rFonts w:ascii="Calibri" w:eastAsia="Calibri" w:hAnsi="Calibri" w:cs="Calibri"/>
          <w:color w:val="1A1A1B"/>
          <w:sz w:val="24"/>
          <w:szCs w:val="24"/>
          <w:highlight w:val="white"/>
        </w:rPr>
        <w:t xml:space="preserve">I denne opgave skal du forholde dig til et teoretisk bud på, hvordan almindelige mennesker kan blive gerningsmænd og begå uhyrligheder som dem under anden verdenskrig. </w:t>
      </w:r>
    </w:p>
    <w:p w14:paraId="74AEA5B6" w14:textId="77777777" w:rsidR="00F84F56" w:rsidRPr="00F068D9" w:rsidRDefault="00F84F56" w:rsidP="00F84F56">
      <w:pPr>
        <w:pBdr>
          <w:bottom w:val="none" w:sz="0" w:space="2" w:color="000000"/>
        </w:pBdr>
        <w:shd w:val="clear" w:color="auto" w:fill="FFFFFF"/>
        <w:spacing w:after="0"/>
        <w:rPr>
          <w:rFonts w:ascii="Calibri" w:eastAsia="Calibri" w:hAnsi="Calibri" w:cs="Calibri"/>
          <w:b/>
          <w:bCs/>
          <w:color w:val="1A1A1B"/>
          <w:sz w:val="24"/>
          <w:szCs w:val="24"/>
          <w:highlight w:val="white"/>
        </w:rPr>
      </w:pPr>
      <w:r w:rsidRPr="00F068D9">
        <w:rPr>
          <w:rFonts w:ascii="Calibri" w:eastAsia="Calibri" w:hAnsi="Calibri" w:cs="Calibri"/>
          <w:b/>
          <w:bCs/>
          <w:color w:val="1A1A1B"/>
          <w:sz w:val="24"/>
          <w:szCs w:val="24"/>
          <w:highlight w:val="white"/>
        </w:rPr>
        <w:t xml:space="preserve">Baggrund </w:t>
      </w:r>
    </w:p>
    <w:p w14:paraId="6B181DEB" w14:textId="77777777" w:rsidR="00F84F56" w:rsidRPr="00302AF1" w:rsidRDefault="00F84F56" w:rsidP="00F84F56">
      <w:pPr>
        <w:pBdr>
          <w:bottom w:val="none" w:sz="0" w:space="2" w:color="000000"/>
        </w:pBdr>
        <w:shd w:val="clear" w:color="auto" w:fill="FFFFFF"/>
        <w:spacing w:after="0"/>
        <w:rPr>
          <w:rFonts w:ascii="Calibri" w:eastAsia="Calibri" w:hAnsi="Calibri" w:cs="Calibri"/>
          <w:b/>
          <w:color w:val="FF0000"/>
          <w:sz w:val="24"/>
          <w:szCs w:val="24"/>
        </w:rPr>
      </w:pPr>
      <w:r>
        <w:rPr>
          <w:rFonts w:ascii="Calibri" w:eastAsia="Calibri" w:hAnsi="Calibri" w:cs="Calibri"/>
          <w:color w:val="1A1A1B"/>
          <w:sz w:val="24"/>
          <w:szCs w:val="24"/>
          <w:highlight w:val="white"/>
        </w:rPr>
        <w:t>Siden Holocaust har fagfolk forsøgt at finde forklaringer på, at almindelige mennesker med</w:t>
      </w:r>
      <w:r>
        <w:rPr>
          <w:rFonts w:ascii="Calibri" w:eastAsia="Calibri" w:hAnsi="Calibri" w:cs="Calibri"/>
          <w:color w:val="1A1A1B"/>
          <w:sz w:val="24"/>
          <w:szCs w:val="24"/>
          <w:highlight w:val="white"/>
        </w:rPr>
        <w:softHyphen/>
        <w:t xml:space="preserve">virker til folkedrab. Ifølge den østrigsk-amerikanske </w:t>
      </w:r>
      <w:proofErr w:type="spellStart"/>
      <w:r>
        <w:rPr>
          <w:rFonts w:ascii="Calibri" w:eastAsia="Calibri" w:hAnsi="Calibri" w:cs="Calibri"/>
          <w:color w:val="1A1A1B"/>
          <w:sz w:val="24"/>
          <w:szCs w:val="24"/>
          <w:highlight w:val="white"/>
        </w:rPr>
        <w:t>socialpsykolog</w:t>
      </w:r>
      <w:proofErr w:type="spellEnd"/>
      <w:r>
        <w:rPr>
          <w:rFonts w:ascii="Calibri" w:eastAsia="Calibri" w:hAnsi="Calibri" w:cs="Calibri"/>
          <w:color w:val="1A1A1B"/>
          <w:sz w:val="24"/>
          <w:szCs w:val="24"/>
          <w:highlight w:val="white"/>
        </w:rPr>
        <w:t xml:space="preserve"> Herbert C. </w:t>
      </w:r>
      <w:proofErr w:type="spellStart"/>
      <w:r>
        <w:rPr>
          <w:rFonts w:ascii="Calibri" w:eastAsia="Calibri" w:hAnsi="Calibri" w:cs="Calibri"/>
          <w:color w:val="1A1A1B"/>
          <w:sz w:val="24"/>
          <w:szCs w:val="24"/>
          <w:highlight w:val="white"/>
        </w:rPr>
        <w:t>Kelman</w:t>
      </w:r>
      <w:proofErr w:type="spellEnd"/>
      <w:r>
        <w:rPr>
          <w:rFonts w:ascii="Calibri" w:eastAsia="Calibri" w:hAnsi="Calibri" w:cs="Calibri"/>
          <w:color w:val="1A1A1B"/>
          <w:sz w:val="24"/>
          <w:szCs w:val="24"/>
          <w:highlight w:val="white"/>
        </w:rPr>
        <w:t xml:space="preserve"> (1927-) har menneskers modstand mod vold og grusomhed over for andre en tendens til at svækkes, når tre betingelser er opfyldt: </w:t>
      </w:r>
    </w:p>
    <w:p w14:paraId="1740A24E" w14:textId="77777777" w:rsidR="00F84F56" w:rsidRPr="00A67665" w:rsidRDefault="00F84F56" w:rsidP="00F84F56">
      <w:pPr>
        <w:pStyle w:val="Listeafsnit"/>
        <w:numPr>
          <w:ilvl w:val="0"/>
          <w:numId w:val="7"/>
        </w:numPr>
        <w:pBdr>
          <w:bottom w:val="none" w:sz="0" w:space="2" w:color="000000"/>
        </w:pBdr>
        <w:shd w:val="clear" w:color="auto" w:fill="FFFFFF"/>
        <w:rPr>
          <w:rFonts w:ascii="Calibri" w:eastAsia="Calibri" w:hAnsi="Calibri" w:cs="Calibri"/>
          <w:color w:val="1A1A1B"/>
          <w:sz w:val="24"/>
          <w:szCs w:val="24"/>
          <w:highlight w:val="white"/>
        </w:rPr>
      </w:pPr>
      <w:r w:rsidRPr="00A67665">
        <w:rPr>
          <w:rFonts w:ascii="Calibri" w:eastAsia="Calibri" w:hAnsi="Calibri" w:cs="Calibri"/>
          <w:color w:val="1A1A1B"/>
          <w:sz w:val="24"/>
          <w:szCs w:val="24"/>
          <w:highlight w:val="white"/>
        </w:rPr>
        <w:t>Volden er autoriseret. Det vil sige, at den bliver beordret fra en relevant og lovlig myndighed.</w:t>
      </w:r>
    </w:p>
    <w:p w14:paraId="259F4D66" w14:textId="77777777" w:rsidR="00F84F56" w:rsidRPr="00A67665" w:rsidRDefault="00F84F56" w:rsidP="00F84F56">
      <w:pPr>
        <w:pStyle w:val="Listeafsnit"/>
        <w:numPr>
          <w:ilvl w:val="0"/>
          <w:numId w:val="7"/>
        </w:numPr>
        <w:pBdr>
          <w:bottom w:val="none" w:sz="0" w:space="2" w:color="000000"/>
        </w:pBdr>
        <w:shd w:val="clear" w:color="auto" w:fill="FFFFFF"/>
        <w:rPr>
          <w:rFonts w:ascii="Calibri" w:eastAsia="Calibri" w:hAnsi="Calibri" w:cs="Calibri"/>
          <w:color w:val="1A1A1B"/>
          <w:sz w:val="24"/>
          <w:szCs w:val="24"/>
          <w:highlight w:val="white"/>
        </w:rPr>
      </w:pPr>
      <w:r w:rsidRPr="00A67665">
        <w:rPr>
          <w:rFonts w:ascii="Calibri" w:eastAsia="Calibri" w:hAnsi="Calibri" w:cs="Calibri"/>
          <w:color w:val="1A1A1B"/>
          <w:sz w:val="24"/>
          <w:szCs w:val="24"/>
          <w:highlight w:val="white"/>
        </w:rPr>
        <w:t>Voldshandlingerne udføres rutinemæssigt.</w:t>
      </w:r>
    </w:p>
    <w:p w14:paraId="6B690B55" w14:textId="77777777" w:rsidR="00F84F56" w:rsidRPr="00A67665" w:rsidRDefault="00F84F56" w:rsidP="00F84F56">
      <w:pPr>
        <w:pStyle w:val="Listeafsnit"/>
        <w:numPr>
          <w:ilvl w:val="0"/>
          <w:numId w:val="7"/>
        </w:numPr>
        <w:pBdr>
          <w:bottom w:val="none" w:sz="0" w:space="2" w:color="000000"/>
        </w:pBdr>
        <w:shd w:val="clear" w:color="auto" w:fill="FFFFFF"/>
        <w:rPr>
          <w:rFonts w:ascii="Calibri" w:eastAsia="Calibri" w:hAnsi="Calibri" w:cs="Calibri"/>
          <w:color w:val="1A1A1B"/>
          <w:sz w:val="24"/>
          <w:szCs w:val="24"/>
          <w:highlight w:val="white"/>
        </w:rPr>
      </w:pPr>
      <w:r w:rsidRPr="00A67665">
        <w:rPr>
          <w:rFonts w:ascii="Calibri" w:eastAsia="Calibri" w:hAnsi="Calibri" w:cs="Calibri"/>
          <w:color w:val="1A1A1B"/>
          <w:sz w:val="24"/>
          <w:szCs w:val="24"/>
          <w:highlight w:val="white"/>
        </w:rPr>
        <w:t>Offergruppen er dehumaniseret</w:t>
      </w:r>
      <w:r>
        <w:rPr>
          <w:rFonts w:ascii="Calibri" w:eastAsia="Calibri" w:hAnsi="Calibri" w:cs="Calibri"/>
          <w:color w:val="1A1A1B"/>
          <w:sz w:val="24"/>
          <w:szCs w:val="24"/>
          <w:highlight w:val="white"/>
        </w:rPr>
        <w:t xml:space="preserve">, dvs. At </w:t>
      </w:r>
      <w:r w:rsidRPr="00A67665">
        <w:rPr>
          <w:rFonts w:ascii="Calibri" w:eastAsia="Calibri" w:hAnsi="Calibri" w:cs="Calibri"/>
          <w:color w:val="1A1A1B"/>
          <w:sz w:val="24"/>
          <w:szCs w:val="24"/>
          <w:highlight w:val="white"/>
        </w:rPr>
        <w:t xml:space="preserve">ofrene ikke </w:t>
      </w:r>
      <w:r>
        <w:rPr>
          <w:rFonts w:ascii="Calibri" w:eastAsia="Calibri" w:hAnsi="Calibri" w:cs="Calibri"/>
          <w:color w:val="1A1A1B"/>
          <w:sz w:val="24"/>
          <w:szCs w:val="24"/>
          <w:highlight w:val="white"/>
        </w:rPr>
        <w:t xml:space="preserve">bliver </w:t>
      </w:r>
      <w:r w:rsidRPr="00A67665">
        <w:rPr>
          <w:rFonts w:ascii="Calibri" w:eastAsia="Calibri" w:hAnsi="Calibri" w:cs="Calibri"/>
          <w:color w:val="1A1A1B"/>
          <w:sz w:val="24"/>
          <w:szCs w:val="24"/>
          <w:highlight w:val="white"/>
        </w:rPr>
        <w:t xml:space="preserve">opfattet som ligeværdige mennesker. </w:t>
      </w:r>
    </w:p>
    <w:p w14:paraId="37E4AE72" w14:textId="77777777" w:rsidR="00F84F56" w:rsidRDefault="00F84F56" w:rsidP="00F84F56">
      <w:pPr>
        <w:pBdr>
          <w:bottom w:val="none" w:sz="0" w:space="2" w:color="000000"/>
        </w:pBdr>
        <w:shd w:val="clear" w:color="auto" w:fill="FFFFFF"/>
        <w:spacing w:after="0"/>
        <w:rPr>
          <w:rFonts w:ascii="Calibri" w:eastAsia="Calibri" w:hAnsi="Calibri" w:cs="Calibri"/>
          <w:b/>
          <w:color w:val="1A1A1B"/>
          <w:sz w:val="24"/>
          <w:szCs w:val="24"/>
          <w:highlight w:val="white"/>
        </w:rPr>
      </w:pPr>
      <w:r>
        <w:rPr>
          <w:rFonts w:ascii="Calibri" w:eastAsia="Calibri" w:hAnsi="Calibri" w:cs="Calibri"/>
          <w:b/>
          <w:color w:val="1A1A1B"/>
          <w:sz w:val="24"/>
          <w:szCs w:val="24"/>
          <w:highlight w:val="white"/>
        </w:rPr>
        <w:t xml:space="preserve">Opgave </w:t>
      </w:r>
    </w:p>
    <w:p w14:paraId="5B051AE9" w14:textId="2DBB9D56"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r>
        <w:rPr>
          <w:rFonts w:ascii="Calibri" w:eastAsia="Calibri" w:hAnsi="Calibri" w:cs="Calibri"/>
          <w:color w:val="1A1A1B"/>
          <w:sz w:val="24"/>
          <w:szCs w:val="24"/>
          <w:highlight w:val="white"/>
        </w:rPr>
        <w:t xml:space="preserve">Kan </w:t>
      </w:r>
      <w:proofErr w:type="spellStart"/>
      <w:r>
        <w:rPr>
          <w:rFonts w:ascii="Calibri" w:eastAsia="Calibri" w:hAnsi="Calibri" w:cs="Calibri"/>
          <w:color w:val="1A1A1B"/>
          <w:sz w:val="24"/>
          <w:szCs w:val="24"/>
          <w:highlight w:val="white"/>
        </w:rPr>
        <w:t>Kelmans</w:t>
      </w:r>
      <w:proofErr w:type="spellEnd"/>
      <w:r>
        <w:rPr>
          <w:rFonts w:ascii="Calibri" w:eastAsia="Calibri" w:hAnsi="Calibri" w:cs="Calibri"/>
          <w:color w:val="1A1A1B"/>
          <w:sz w:val="24"/>
          <w:szCs w:val="24"/>
          <w:highlight w:val="white"/>
        </w:rPr>
        <w:t xml:space="preserve"> teori forklare, at almindelige mennesker deltog i Holocaust? Besvar spørgsmålet ved at undersøge om </w:t>
      </w:r>
      <w:proofErr w:type="spellStart"/>
      <w:r>
        <w:rPr>
          <w:rFonts w:ascii="Calibri" w:eastAsia="Calibri" w:hAnsi="Calibri" w:cs="Calibri"/>
          <w:color w:val="1A1A1B"/>
          <w:sz w:val="24"/>
          <w:szCs w:val="24"/>
          <w:highlight w:val="white"/>
        </w:rPr>
        <w:t>Kelmans</w:t>
      </w:r>
      <w:proofErr w:type="spellEnd"/>
      <w:r>
        <w:rPr>
          <w:rFonts w:ascii="Calibri" w:eastAsia="Calibri" w:hAnsi="Calibri" w:cs="Calibri"/>
          <w:color w:val="1A1A1B"/>
          <w:sz w:val="24"/>
          <w:szCs w:val="24"/>
          <w:highlight w:val="white"/>
        </w:rPr>
        <w:t xml:space="preserve"> tre betingelser var opfyldt under Holocaust. Du skal behandle de tre punkter hver for sig, og du skal begrunde dit svar med henvisning til konkrete, historiske hændelser og udviklinger, som du kender fra bogen. </w:t>
      </w:r>
    </w:p>
    <w:p w14:paraId="118FB06E" w14:textId="50702AAD"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7A2209F5" w14:textId="06E4F76A"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18F45748" w14:textId="70C51A5A"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5490ED8C" w14:textId="56F601A1"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36A95B4D" w14:textId="1A205C56"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66830E08" w14:textId="4CBE2AFD"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3683FCD5" w14:textId="008757D1"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634097A2" w14:textId="40061039"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43A92F00" w14:textId="4C7CFA1A" w:rsidR="00F84F56"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p w14:paraId="71938EE2" w14:textId="77777777" w:rsidR="00F84F56" w:rsidRPr="00026314" w:rsidRDefault="00F84F56" w:rsidP="00F84F56">
      <w:pPr>
        <w:pBdr>
          <w:bottom w:val="none" w:sz="0" w:space="2" w:color="000000"/>
        </w:pBdr>
        <w:shd w:val="clear" w:color="auto" w:fill="FFFFFF"/>
        <w:rPr>
          <w:rFonts w:ascii="Calibri" w:eastAsia="Calibri" w:hAnsi="Calibri" w:cs="Calibri"/>
          <w:color w:val="1A1A1B"/>
          <w:sz w:val="24"/>
          <w:szCs w:val="24"/>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6053"/>
      </w:tblGrid>
      <w:tr w:rsidR="00F84F56" w:rsidRPr="0082182B" w14:paraId="37E9B500" w14:textId="77777777" w:rsidTr="003279E9">
        <w:tc>
          <w:tcPr>
            <w:tcW w:w="9062" w:type="dxa"/>
            <w:gridSpan w:val="2"/>
            <w:shd w:val="clear" w:color="auto" w:fill="ACB9CA" w:themeFill="text2" w:themeFillTint="66"/>
            <w:tcMar>
              <w:top w:w="100" w:type="dxa"/>
              <w:left w:w="100" w:type="dxa"/>
              <w:bottom w:w="100" w:type="dxa"/>
              <w:right w:w="100" w:type="dxa"/>
            </w:tcMar>
          </w:tcPr>
          <w:p w14:paraId="6DE65221" w14:textId="77777777" w:rsidR="00F84F56" w:rsidRPr="0044666C" w:rsidRDefault="00F84F56" w:rsidP="003279E9">
            <w:pPr>
              <w:widowControl w:val="0"/>
              <w:spacing w:line="240" w:lineRule="auto"/>
              <w:jc w:val="center"/>
              <w:rPr>
                <w:rFonts w:ascii="Calibri" w:eastAsia="Calibri" w:hAnsi="Calibri" w:cs="Calibri"/>
                <w:b/>
                <w:sz w:val="28"/>
                <w:szCs w:val="28"/>
                <w:lang w:val="da-DK"/>
              </w:rPr>
            </w:pPr>
            <w:r w:rsidRPr="0044666C">
              <w:rPr>
                <w:rFonts w:ascii="Calibri" w:eastAsia="Calibri" w:hAnsi="Calibri" w:cs="Calibri"/>
                <w:b/>
                <w:sz w:val="28"/>
                <w:szCs w:val="28"/>
                <w:lang w:val="da-DK"/>
              </w:rPr>
              <w:lastRenderedPageBreak/>
              <w:t>HVORDAN BLIVER ALMINDELIGE MENNESKER TIL GERNINGSMÆND?</w:t>
            </w:r>
          </w:p>
        </w:tc>
      </w:tr>
      <w:tr w:rsidR="00F84F56" w14:paraId="57E3A3F6" w14:textId="77777777" w:rsidTr="003279E9">
        <w:tc>
          <w:tcPr>
            <w:tcW w:w="3009" w:type="dxa"/>
            <w:shd w:val="clear" w:color="auto" w:fill="D0CECE" w:themeFill="background2" w:themeFillShade="E6"/>
            <w:tcMar>
              <w:top w:w="100" w:type="dxa"/>
              <w:left w:w="100" w:type="dxa"/>
              <w:bottom w:w="100" w:type="dxa"/>
              <w:right w:w="100" w:type="dxa"/>
            </w:tcMar>
          </w:tcPr>
          <w:p w14:paraId="1BD181F7" w14:textId="77777777" w:rsidR="00F84F56" w:rsidRDefault="00F84F56" w:rsidP="003279E9">
            <w:pPr>
              <w:widowControl w:val="0"/>
              <w:spacing w:line="240" w:lineRule="auto"/>
              <w:rPr>
                <w:rFonts w:ascii="Calibri" w:eastAsia="Calibri" w:hAnsi="Calibri" w:cs="Calibri"/>
                <w:b/>
                <w:sz w:val="24"/>
                <w:szCs w:val="24"/>
                <w:lang w:val="da-DK"/>
              </w:rPr>
            </w:pPr>
            <w:r>
              <w:rPr>
                <w:rFonts w:ascii="Calibri" w:eastAsia="Calibri" w:hAnsi="Calibri" w:cs="Calibri"/>
                <w:b/>
                <w:sz w:val="24"/>
                <w:szCs w:val="24"/>
                <w:lang w:val="da-DK"/>
              </w:rPr>
              <w:t>Giv eksempler på, hvordan volden var autoriseret under Holocaust.</w:t>
            </w:r>
          </w:p>
          <w:p w14:paraId="4F73A6B6" w14:textId="77777777" w:rsidR="00F84F56" w:rsidRDefault="00F84F56" w:rsidP="003279E9">
            <w:pPr>
              <w:widowControl w:val="0"/>
              <w:spacing w:line="240" w:lineRule="auto"/>
              <w:rPr>
                <w:rFonts w:ascii="Calibri" w:eastAsia="Calibri" w:hAnsi="Calibri" w:cs="Calibri"/>
                <w:b/>
                <w:color w:val="222222"/>
                <w:sz w:val="24"/>
                <w:szCs w:val="24"/>
                <w:highlight w:val="white"/>
              </w:rPr>
            </w:pPr>
          </w:p>
        </w:tc>
        <w:tc>
          <w:tcPr>
            <w:tcW w:w="6053" w:type="dxa"/>
            <w:shd w:val="clear" w:color="auto" w:fill="auto"/>
            <w:tcMar>
              <w:top w:w="100" w:type="dxa"/>
              <w:left w:w="100" w:type="dxa"/>
              <w:bottom w:w="100" w:type="dxa"/>
              <w:right w:w="100" w:type="dxa"/>
            </w:tcMar>
          </w:tcPr>
          <w:p w14:paraId="22CF86FC" w14:textId="77777777" w:rsidR="00F84F56" w:rsidRDefault="00F84F56" w:rsidP="003279E9">
            <w:pPr>
              <w:spacing w:line="240" w:lineRule="auto"/>
              <w:rPr>
                <w:rFonts w:ascii="Calibri" w:eastAsia="Calibri" w:hAnsi="Calibri" w:cs="Calibri"/>
                <w:color w:val="222222"/>
                <w:sz w:val="24"/>
                <w:szCs w:val="24"/>
                <w:highlight w:val="white"/>
              </w:rPr>
            </w:pPr>
          </w:p>
          <w:p w14:paraId="0E7A367C" w14:textId="77777777" w:rsidR="00F84F56" w:rsidRDefault="00F84F56" w:rsidP="003279E9">
            <w:pPr>
              <w:spacing w:line="240" w:lineRule="auto"/>
              <w:rPr>
                <w:rFonts w:ascii="Calibri" w:eastAsia="Calibri" w:hAnsi="Calibri" w:cs="Calibri"/>
                <w:color w:val="222222"/>
                <w:sz w:val="24"/>
                <w:szCs w:val="24"/>
                <w:highlight w:val="white"/>
              </w:rPr>
            </w:pPr>
          </w:p>
          <w:p w14:paraId="0188EAB9" w14:textId="77777777" w:rsidR="00F84F56" w:rsidRDefault="00F84F56" w:rsidP="003279E9">
            <w:pPr>
              <w:spacing w:line="240" w:lineRule="auto"/>
              <w:rPr>
                <w:rFonts w:ascii="Calibri" w:eastAsia="Calibri" w:hAnsi="Calibri" w:cs="Calibri"/>
                <w:color w:val="222222"/>
                <w:sz w:val="24"/>
                <w:szCs w:val="24"/>
                <w:highlight w:val="white"/>
              </w:rPr>
            </w:pPr>
          </w:p>
          <w:p w14:paraId="7CA16D1B" w14:textId="77777777" w:rsidR="00F84F56" w:rsidRDefault="00F84F56" w:rsidP="003279E9">
            <w:pPr>
              <w:spacing w:line="240" w:lineRule="auto"/>
              <w:rPr>
                <w:rFonts w:ascii="Calibri" w:eastAsia="Calibri" w:hAnsi="Calibri" w:cs="Calibri"/>
                <w:color w:val="222222"/>
                <w:sz w:val="24"/>
                <w:szCs w:val="24"/>
                <w:highlight w:val="white"/>
              </w:rPr>
            </w:pPr>
          </w:p>
        </w:tc>
      </w:tr>
      <w:tr w:rsidR="00F84F56" w14:paraId="1FE4354D" w14:textId="77777777" w:rsidTr="003279E9">
        <w:tc>
          <w:tcPr>
            <w:tcW w:w="3009" w:type="dxa"/>
            <w:shd w:val="clear" w:color="auto" w:fill="D0CECE" w:themeFill="background2" w:themeFillShade="E6"/>
            <w:tcMar>
              <w:top w:w="100" w:type="dxa"/>
              <w:left w:w="100" w:type="dxa"/>
              <w:bottom w:w="100" w:type="dxa"/>
              <w:right w:w="100" w:type="dxa"/>
            </w:tcMar>
          </w:tcPr>
          <w:p w14:paraId="5316032F" w14:textId="77777777" w:rsidR="00F84F56" w:rsidRDefault="00F84F56" w:rsidP="003279E9">
            <w:pPr>
              <w:widowControl w:val="0"/>
              <w:spacing w:line="240" w:lineRule="auto"/>
              <w:rPr>
                <w:rFonts w:ascii="Calibri" w:eastAsia="Calibri" w:hAnsi="Calibri" w:cs="Calibri"/>
                <w:b/>
                <w:sz w:val="24"/>
                <w:szCs w:val="24"/>
                <w:lang w:val="da-DK"/>
              </w:rPr>
            </w:pPr>
            <w:r>
              <w:rPr>
                <w:rFonts w:ascii="Calibri" w:eastAsia="Calibri" w:hAnsi="Calibri" w:cs="Calibri"/>
                <w:b/>
                <w:sz w:val="24"/>
                <w:szCs w:val="24"/>
                <w:lang w:val="da-DK"/>
              </w:rPr>
              <w:t>Giv eksempler på, at voldshandlingerne blev udført rutinemæssigt.</w:t>
            </w:r>
          </w:p>
          <w:p w14:paraId="0E8514B8" w14:textId="77777777" w:rsidR="00F84F56" w:rsidRPr="0082182B" w:rsidRDefault="00F84F56" w:rsidP="003279E9">
            <w:pPr>
              <w:widowControl w:val="0"/>
              <w:spacing w:line="240" w:lineRule="auto"/>
              <w:rPr>
                <w:rFonts w:ascii="Calibri" w:eastAsia="Calibri" w:hAnsi="Calibri" w:cs="Calibri"/>
                <w:b/>
                <w:sz w:val="24"/>
                <w:szCs w:val="24"/>
                <w:lang w:val="da-DK"/>
              </w:rPr>
            </w:pPr>
          </w:p>
        </w:tc>
        <w:tc>
          <w:tcPr>
            <w:tcW w:w="6053" w:type="dxa"/>
            <w:shd w:val="clear" w:color="auto" w:fill="auto"/>
            <w:tcMar>
              <w:top w:w="100" w:type="dxa"/>
              <w:left w:w="100" w:type="dxa"/>
              <w:bottom w:w="100" w:type="dxa"/>
              <w:right w:w="100" w:type="dxa"/>
            </w:tcMar>
          </w:tcPr>
          <w:p w14:paraId="227886E0"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04DB036A"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611EAA49"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707795DF"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36BD86AC" w14:textId="77777777" w:rsidR="00F84F56" w:rsidRDefault="00F84F56" w:rsidP="003279E9">
            <w:pPr>
              <w:widowControl w:val="0"/>
              <w:spacing w:line="240" w:lineRule="auto"/>
              <w:rPr>
                <w:rFonts w:ascii="Calibri" w:eastAsia="Calibri" w:hAnsi="Calibri" w:cs="Calibri"/>
                <w:color w:val="222222"/>
                <w:sz w:val="24"/>
                <w:szCs w:val="24"/>
                <w:highlight w:val="white"/>
              </w:rPr>
            </w:pPr>
          </w:p>
        </w:tc>
      </w:tr>
      <w:tr w:rsidR="00F84F56" w14:paraId="20A98E5B" w14:textId="77777777" w:rsidTr="003279E9">
        <w:tc>
          <w:tcPr>
            <w:tcW w:w="3009" w:type="dxa"/>
            <w:shd w:val="clear" w:color="auto" w:fill="D0CECE" w:themeFill="background2" w:themeFillShade="E6"/>
            <w:tcMar>
              <w:top w:w="100" w:type="dxa"/>
              <w:left w:w="100" w:type="dxa"/>
              <w:bottom w:w="100" w:type="dxa"/>
              <w:right w:w="100" w:type="dxa"/>
            </w:tcMar>
          </w:tcPr>
          <w:p w14:paraId="10DD8306" w14:textId="77777777" w:rsidR="00F84F56" w:rsidRDefault="00F84F56" w:rsidP="003279E9">
            <w:pPr>
              <w:widowControl w:val="0"/>
              <w:spacing w:line="240" w:lineRule="auto"/>
              <w:rPr>
                <w:rFonts w:ascii="Calibri" w:eastAsia="Calibri" w:hAnsi="Calibri" w:cs="Calibri"/>
                <w:b/>
                <w:sz w:val="24"/>
                <w:szCs w:val="24"/>
                <w:lang w:val="da-DK"/>
              </w:rPr>
            </w:pPr>
            <w:r>
              <w:rPr>
                <w:rFonts w:ascii="Calibri" w:eastAsia="Calibri" w:hAnsi="Calibri" w:cs="Calibri"/>
                <w:b/>
                <w:sz w:val="24"/>
                <w:szCs w:val="24"/>
                <w:lang w:val="da-DK"/>
              </w:rPr>
              <w:t xml:space="preserve">Giv eksempler på at offergrupperne var dehumaniseret. </w:t>
            </w:r>
          </w:p>
          <w:p w14:paraId="1CF82B90" w14:textId="77777777" w:rsidR="00F84F56" w:rsidRPr="0082182B" w:rsidRDefault="00F84F56" w:rsidP="003279E9">
            <w:pPr>
              <w:widowControl w:val="0"/>
              <w:spacing w:line="240" w:lineRule="auto"/>
              <w:rPr>
                <w:rFonts w:ascii="Calibri" w:eastAsia="Calibri" w:hAnsi="Calibri" w:cs="Calibri"/>
                <w:b/>
                <w:color w:val="222222"/>
                <w:sz w:val="24"/>
                <w:szCs w:val="24"/>
                <w:highlight w:val="white"/>
                <w:lang w:val="da-DK"/>
              </w:rPr>
            </w:pPr>
          </w:p>
        </w:tc>
        <w:tc>
          <w:tcPr>
            <w:tcW w:w="6053" w:type="dxa"/>
            <w:shd w:val="clear" w:color="auto" w:fill="auto"/>
            <w:tcMar>
              <w:top w:w="100" w:type="dxa"/>
              <w:left w:w="100" w:type="dxa"/>
              <w:bottom w:w="100" w:type="dxa"/>
              <w:right w:w="100" w:type="dxa"/>
            </w:tcMar>
          </w:tcPr>
          <w:p w14:paraId="77ABF77F"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1B42A838"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673C212B"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08D14AA3" w14:textId="77777777" w:rsidR="00F84F56" w:rsidRDefault="00F84F56" w:rsidP="003279E9">
            <w:pPr>
              <w:widowControl w:val="0"/>
              <w:spacing w:line="240" w:lineRule="auto"/>
              <w:rPr>
                <w:rFonts w:ascii="Calibri" w:eastAsia="Calibri" w:hAnsi="Calibri" w:cs="Calibri"/>
                <w:color w:val="222222"/>
                <w:sz w:val="24"/>
                <w:szCs w:val="24"/>
                <w:highlight w:val="white"/>
              </w:rPr>
            </w:pPr>
          </w:p>
          <w:p w14:paraId="602904C9" w14:textId="77777777" w:rsidR="00F84F56" w:rsidRDefault="00F84F56" w:rsidP="003279E9">
            <w:pPr>
              <w:widowControl w:val="0"/>
              <w:spacing w:line="240" w:lineRule="auto"/>
              <w:rPr>
                <w:rFonts w:ascii="Calibri" w:eastAsia="Calibri" w:hAnsi="Calibri" w:cs="Calibri"/>
                <w:color w:val="222222"/>
                <w:sz w:val="24"/>
                <w:szCs w:val="24"/>
                <w:highlight w:val="white"/>
              </w:rPr>
            </w:pPr>
          </w:p>
        </w:tc>
      </w:tr>
      <w:tr w:rsidR="00F84F56" w14:paraId="31CAC040" w14:textId="77777777" w:rsidTr="003279E9">
        <w:tc>
          <w:tcPr>
            <w:tcW w:w="3009" w:type="dxa"/>
            <w:shd w:val="clear" w:color="auto" w:fill="D0CECE" w:themeFill="background2" w:themeFillShade="E6"/>
            <w:tcMar>
              <w:top w:w="100" w:type="dxa"/>
              <w:left w:w="100" w:type="dxa"/>
              <w:bottom w:w="100" w:type="dxa"/>
              <w:right w:w="100" w:type="dxa"/>
            </w:tcMar>
          </w:tcPr>
          <w:p w14:paraId="23C6EBC9" w14:textId="77777777" w:rsidR="00F84F56" w:rsidRDefault="00F84F56" w:rsidP="003279E9">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Herbert C. </w:t>
            </w:r>
            <w:proofErr w:type="spellStart"/>
            <w:r>
              <w:rPr>
                <w:rFonts w:ascii="Calibri" w:eastAsia="Calibri" w:hAnsi="Calibri" w:cs="Calibri"/>
                <w:b/>
                <w:sz w:val="24"/>
                <w:szCs w:val="24"/>
              </w:rPr>
              <w:t>Kelmans</w:t>
            </w:r>
            <w:proofErr w:type="spellEnd"/>
            <w:r>
              <w:rPr>
                <w:rFonts w:ascii="Calibri" w:eastAsia="Calibri" w:hAnsi="Calibri" w:cs="Calibri"/>
                <w:b/>
                <w:sz w:val="24"/>
                <w:szCs w:val="24"/>
              </w:rPr>
              <w:t xml:space="preserve"> mener, at menneskers modstand mod vold og grusomhed overfor andre, kan blive svækket, når de tre betingelser er opfyldt. </w:t>
            </w:r>
          </w:p>
          <w:p w14:paraId="215056BD" w14:textId="77777777" w:rsidR="00F84F56" w:rsidRDefault="00F84F56" w:rsidP="003279E9">
            <w:pPr>
              <w:widowControl w:val="0"/>
              <w:spacing w:line="240" w:lineRule="auto"/>
              <w:rPr>
                <w:rFonts w:ascii="Calibri" w:eastAsia="Calibri" w:hAnsi="Calibri" w:cs="Calibri"/>
                <w:b/>
                <w:sz w:val="24"/>
                <w:szCs w:val="24"/>
                <w:lang w:val="da-DK"/>
              </w:rPr>
            </w:pPr>
            <w:r>
              <w:rPr>
                <w:rFonts w:ascii="Calibri" w:eastAsia="Calibri" w:hAnsi="Calibri" w:cs="Calibri"/>
                <w:b/>
                <w:sz w:val="24"/>
                <w:szCs w:val="24"/>
              </w:rPr>
              <w:t xml:space="preserve">Hvis </w:t>
            </w:r>
            <w:proofErr w:type="spellStart"/>
            <w:r>
              <w:rPr>
                <w:rFonts w:ascii="Calibri" w:eastAsia="Calibri" w:hAnsi="Calibri" w:cs="Calibri"/>
                <w:b/>
                <w:sz w:val="24"/>
                <w:szCs w:val="24"/>
                <w:lang w:val="da-DK"/>
              </w:rPr>
              <w:t>Kelman</w:t>
            </w:r>
            <w:proofErr w:type="spellEnd"/>
            <w:r>
              <w:rPr>
                <w:rFonts w:ascii="Calibri" w:eastAsia="Calibri" w:hAnsi="Calibri" w:cs="Calibri"/>
                <w:b/>
                <w:sz w:val="24"/>
                <w:szCs w:val="24"/>
                <w:lang w:val="da-DK"/>
              </w:rPr>
              <w:t xml:space="preserve"> har ret, og betingelserne var opfyldt under Holocaust, undskylder det så gerningsmændenes handlinger? </w:t>
            </w:r>
          </w:p>
        </w:tc>
        <w:tc>
          <w:tcPr>
            <w:tcW w:w="6053" w:type="dxa"/>
            <w:shd w:val="clear" w:color="auto" w:fill="auto"/>
            <w:tcMar>
              <w:top w:w="100" w:type="dxa"/>
              <w:left w:w="100" w:type="dxa"/>
              <w:bottom w:w="100" w:type="dxa"/>
              <w:right w:w="100" w:type="dxa"/>
            </w:tcMar>
          </w:tcPr>
          <w:p w14:paraId="221C4689" w14:textId="77777777" w:rsidR="00F84F56" w:rsidRDefault="00F84F56" w:rsidP="003279E9">
            <w:pPr>
              <w:pBdr>
                <w:bottom w:val="none" w:sz="0" w:space="2" w:color="000000"/>
              </w:pBdr>
              <w:shd w:val="clear" w:color="auto" w:fill="FFFFFF"/>
              <w:spacing w:after="0"/>
              <w:rPr>
                <w:rFonts w:ascii="Calibri" w:eastAsia="Calibri" w:hAnsi="Calibri" w:cs="Calibri"/>
                <w:color w:val="222222"/>
                <w:sz w:val="24"/>
                <w:szCs w:val="24"/>
                <w:highlight w:val="white"/>
              </w:rPr>
            </w:pPr>
          </w:p>
        </w:tc>
      </w:tr>
    </w:tbl>
    <w:p w14:paraId="5E7AA599" w14:textId="3D21F946" w:rsidR="00D5181F" w:rsidRPr="00191518" w:rsidRDefault="00D5181F" w:rsidP="00FD54F7">
      <w:pPr>
        <w:rPr>
          <w:b/>
          <w:bCs/>
        </w:rPr>
      </w:pPr>
    </w:p>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602"/>
    <w:multiLevelType w:val="hybridMultilevel"/>
    <w:tmpl w:val="7198486C"/>
    <w:lvl w:ilvl="0" w:tplc="A7BA0A1E">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A459F5"/>
    <w:multiLevelType w:val="hybridMultilevel"/>
    <w:tmpl w:val="A8F653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3"/>
  </w:num>
  <w:num w:numId="2" w16cid:durableId="1313409882">
    <w:abstractNumId w:val="1"/>
  </w:num>
  <w:num w:numId="3" w16cid:durableId="824736937">
    <w:abstractNumId w:val="2"/>
  </w:num>
  <w:num w:numId="4" w16cid:durableId="786461403">
    <w:abstractNumId w:val="6"/>
  </w:num>
  <w:num w:numId="5" w16cid:durableId="2093817158">
    <w:abstractNumId w:val="4"/>
  </w:num>
  <w:num w:numId="6" w16cid:durableId="107894089">
    <w:abstractNumId w:val="0"/>
  </w:num>
  <w:num w:numId="7" w16cid:durableId="177551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1218A5"/>
    <w:rsid w:val="00191518"/>
    <w:rsid w:val="005A0E49"/>
    <w:rsid w:val="007D12D1"/>
    <w:rsid w:val="00B11332"/>
    <w:rsid w:val="00D5181F"/>
    <w:rsid w:val="00F84F56"/>
    <w:rsid w:val="00FD5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1423</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2023-03-08T10:18:00Z</dcterms:created>
  <dcterms:modified xsi:type="dcterms:W3CDTF">2023-03-08T10:18:00Z</dcterms:modified>
</cp:coreProperties>
</file>