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BFA7" w14:textId="77777777" w:rsidR="00B470A3" w:rsidRPr="00583493" w:rsidRDefault="005B263A" w:rsidP="00B470A3">
      <w:pPr>
        <w:pStyle w:val="Overskrift2"/>
        <w:rPr>
          <w:rFonts w:eastAsia="Calibri"/>
          <w:b/>
          <w:bCs/>
          <w:color w:val="FF0000"/>
          <w:sz w:val="30"/>
          <w:szCs w:val="30"/>
          <w:highlight w:val="yellow"/>
        </w:rPr>
      </w:pPr>
      <w:r w:rsidRPr="00B470A3">
        <w:t xml:space="preserve"> </w:t>
      </w:r>
      <w:r w:rsidR="00B470A3" w:rsidRPr="00583493">
        <w:rPr>
          <w:rFonts w:eastAsia="Calibri"/>
          <w:b/>
          <w:bCs/>
          <w:color w:val="FF0000"/>
          <w:sz w:val="30"/>
          <w:szCs w:val="30"/>
        </w:rPr>
        <w:t>Opgave 6</w:t>
      </w:r>
      <w:r w:rsidR="00B470A3">
        <w:rPr>
          <w:rFonts w:eastAsia="Calibri"/>
          <w:b/>
          <w:bCs/>
          <w:color w:val="FF0000"/>
          <w:sz w:val="30"/>
          <w:szCs w:val="30"/>
        </w:rPr>
        <w:t xml:space="preserve"> (gruppeøvelse) </w:t>
      </w:r>
      <w:r w:rsidR="00B470A3" w:rsidRPr="00583493">
        <w:rPr>
          <w:rFonts w:eastAsia="Calibri"/>
          <w:b/>
          <w:bCs/>
          <w:sz w:val="30"/>
          <w:szCs w:val="30"/>
        </w:rPr>
        <w:t xml:space="preserve">Restriktioner og rettigheder </w:t>
      </w:r>
    </w:p>
    <w:p w14:paraId="7318557D" w14:textId="77777777" w:rsidR="00B470A3" w:rsidRDefault="00B470A3" w:rsidP="00B470A3">
      <w:pPr>
        <w:rPr>
          <w:rFonts w:asciiTheme="majorHAnsi" w:hAnsiTheme="majorHAnsi" w:cstheme="majorHAnsi"/>
          <w:b/>
          <w:bCs/>
          <w:color w:val="222222"/>
          <w:sz w:val="24"/>
          <w:szCs w:val="24"/>
          <w:highlight w:val="white"/>
        </w:rPr>
      </w:pPr>
    </w:p>
    <w:p w14:paraId="079484F0" w14:textId="77777777" w:rsidR="00B470A3" w:rsidRPr="00D66262" w:rsidRDefault="00B470A3" w:rsidP="00B470A3">
      <w:pPr>
        <w:rPr>
          <w:rFonts w:asciiTheme="majorHAnsi" w:hAnsiTheme="majorHAnsi" w:cstheme="majorHAnsi"/>
          <w:b/>
          <w:bCs/>
          <w:color w:val="222222"/>
          <w:sz w:val="24"/>
          <w:szCs w:val="24"/>
          <w:highlight w:val="white"/>
        </w:rPr>
      </w:pPr>
      <w:r w:rsidRPr="00D66262">
        <w:rPr>
          <w:rFonts w:asciiTheme="majorHAnsi" w:hAnsiTheme="majorHAnsi" w:cstheme="majorHAnsi"/>
          <w:b/>
          <w:bCs/>
          <w:color w:val="222222"/>
          <w:sz w:val="24"/>
          <w:szCs w:val="24"/>
          <w:highlight w:val="white"/>
        </w:rPr>
        <w:t>OBS! Denne øvelse skal faciliteres af underviseren</w:t>
      </w:r>
    </w:p>
    <w:p w14:paraId="67BCADA6" w14:textId="77777777" w:rsidR="00B470A3" w:rsidRDefault="00B470A3" w:rsidP="00B470A3">
      <w:pPr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661330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Målet med øvelsen er, at eleverne får kendskab til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,</w:t>
      </w:r>
      <w:r w:rsidRPr="00661330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 hvordan lovgivning blev brugt til at ud</w:t>
      </w:r>
      <w:r>
        <w:rPr>
          <w:rFonts w:asciiTheme="majorHAnsi" w:hAnsiTheme="majorHAnsi" w:cstheme="majorHAnsi"/>
          <w:color w:val="222222"/>
          <w:sz w:val="24"/>
          <w:szCs w:val="24"/>
          <w:highlight w:val="white"/>
        </w:rPr>
        <w:softHyphen/>
      </w:r>
      <w:r w:rsidRPr="00661330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grænse og diskriminere jøder og andre minoriteter i Nazityskland. </w:t>
      </w:r>
    </w:p>
    <w:p w14:paraId="4C5E9790" w14:textId="77777777" w:rsidR="00B470A3" w:rsidRPr="00352B9D" w:rsidRDefault="00B470A3" w:rsidP="00B470A3">
      <w:pPr>
        <w:rPr>
          <w:rFonts w:asciiTheme="majorHAnsi" w:hAnsiTheme="majorHAnsi" w:cstheme="majorHAnsi"/>
          <w:b/>
          <w:bCs/>
          <w:color w:val="222222"/>
          <w:sz w:val="24"/>
          <w:szCs w:val="24"/>
          <w:highlight w:val="white"/>
        </w:rPr>
      </w:pPr>
      <w:r w:rsidRPr="00352B9D">
        <w:rPr>
          <w:rFonts w:asciiTheme="majorHAnsi" w:hAnsiTheme="majorHAnsi" w:cstheme="majorHAnsi"/>
          <w:b/>
          <w:bCs/>
          <w:color w:val="222222"/>
          <w:sz w:val="24"/>
          <w:szCs w:val="24"/>
          <w:highlight w:val="white"/>
        </w:rPr>
        <w:t xml:space="preserve">Øvelse: </w:t>
      </w:r>
    </w:p>
    <w:p w14:paraId="63E95C7B" w14:textId="77777777" w:rsidR="00B470A3" w:rsidRPr="00352B9D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Inddel eleverne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i grupper på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fire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,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og lad dem læse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boksen »Forbud og restriktioner for jøder« s.71 samt kilde 16 »</w:t>
      </w:r>
      <w:r w:rsidRPr="00661330">
        <w:rPr>
          <w:rFonts w:asciiTheme="majorHAnsi" w:eastAsia="Calibri" w:hAnsiTheme="majorHAnsi" w:cstheme="majorHAnsi"/>
          <w:sz w:val="24"/>
          <w:szCs w:val="24"/>
        </w:rPr>
        <w:t>Jødelov fulgte efter jødelov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«, s. 7</w:t>
      </w:r>
      <w:r>
        <w:rPr>
          <w:rFonts w:asciiTheme="majorHAnsi" w:eastAsia="Calibri" w:hAnsiTheme="majorHAnsi" w:cstheme="majorHAnsi"/>
          <w:color w:val="222222"/>
          <w:sz w:val="24"/>
          <w:szCs w:val="24"/>
        </w:rPr>
        <w:t>2.</w:t>
      </w:r>
    </w:p>
    <w:p w14:paraId="0A8DCD7A" w14:textId="77777777" w:rsidR="00B470A3" w:rsidRPr="002D3642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De skal nu vurdere forbuddenes påvirkning af jødernes levevilkår ved at anbringe hver enkelt forbud i </w:t>
      </w:r>
      <w:r w:rsidRPr="00D66262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en af kategori</w:t>
      </w:r>
      <w:r w:rsidRPr="00D66262">
        <w:rPr>
          <w:rFonts w:asciiTheme="majorHAnsi" w:eastAsia="Calibri" w:hAnsiTheme="majorHAnsi" w:cstheme="majorHAnsi"/>
          <w:color w:val="222222"/>
          <w:sz w:val="24"/>
          <w:szCs w:val="24"/>
        </w:rPr>
        <w:t>er</w:t>
      </w:r>
      <w:r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i skemaet nedenfor. Vær obs på at restriktioner kan overlappe mellem flere kategorier. Der er ikke rigtige og forkerte løsninger - målet er, at eleverne får kendskab til omfanget og konsekvenserne af de mange forbud.</w:t>
      </w:r>
    </w:p>
    <w:p w14:paraId="75C7388E" w14:textId="7B5C6293" w:rsidR="00B470A3" w:rsidRDefault="00B470A3" w:rsidP="00B470A3">
      <w:pPr>
        <w:spacing w:line="240" w:lineRule="auto"/>
        <w:ind w:left="360"/>
        <w:rPr>
          <w:rFonts w:asciiTheme="majorHAnsi" w:eastAsia="Calibri" w:hAnsiTheme="majorHAnsi" w:cstheme="majorHAnsi"/>
          <w:color w:val="222222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>(Øvelsen fortsætter efter skemaet)</w:t>
      </w:r>
    </w:p>
    <w:p w14:paraId="76D1870F" w14:textId="77777777" w:rsidR="00B470A3" w:rsidRPr="002D3642" w:rsidRDefault="00B470A3" w:rsidP="00B470A3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410"/>
      </w:tblGrid>
      <w:tr w:rsidR="00B470A3" w:rsidRPr="002B06E3" w14:paraId="66578480" w14:textId="77777777" w:rsidTr="003279E9">
        <w:trPr>
          <w:trHeight w:val="766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44CE" w14:textId="77777777" w:rsidR="00B470A3" w:rsidRPr="002B06E3" w:rsidRDefault="00B470A3" w:rsidP="003279E9">
            <w:pPr>
              <w:ind w:left="80" w:right="80"/>
              <w:jc w:val="center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RESTRIKTIONER OG FORBUD MOD JØDER </w:t>
            </w:r>
          </w:p>
        </w:tc>
      </w:tr>
      <w:tr w:rsidR="00B470A3" w:rsidRPr="002B06E3" w14:paraId="2D3F22F0" w14:textId="77777777" w:rsidTr="003279E9">
        <w:trPr>
          <w:trHeight w:val="766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1165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Vurdér hvordan restriktioner og forbud ramte jøders levevilkår. Anbring forbuddene i boksen s. 71 og kilden s. 72 i nedenstående kategorier</w:t>
            </w:r>
          </w:p>
        </w:tc>
      </w:tr>
      <w:tr w:rsidR="00B470A3" w14:paraId="029E4826" w14:textId="77777777" w:rsidTr="003279E9">
        <w:trPr>
          <w:trHeight w:val="159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2375" w14:textId="77777777" w:rsidR="00B470A3" w:rsidRPr="00570EC9" w:rsidRDefault="00B470A3" w:rsidP="003279E9">
            <w:pPr>
              <w:spacing w:line="240" w:lineRule="auto"/>
              <w:rPr>
                <w:rFonts w:asciiTheme="majorHAnsi" w:eastAsia="Calibri" w:hAnsiTheme="majorHAnsi" w:cstheme="majorHAnsi"/>
                <w:color w:val="222222"/>
                <w:sz w:val="30"/>
                <w:szCs w:val="30"/>
                <w:highlight w:val="white"/>
              </w:rPr>
            </w:pPr>
            <w:r w:rsidRPr="00570EC9">
              <w:rPr>
                <w:rFonts w:asciiTheme="majorHAnsi" w:eastAsia="Calibri" w:hAnsiTheme="majorHAnsi" w:cstheme="majorHAnsi"/>
                <w:b/>
                <w:bCs/>
                <w:sz w:val="30"/>
                <w:szCs w:val="30"/>
              </w:rPr>
              <w:t xml:space="preserve">FAMILIELIV 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2A47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9B7B96B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50E641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70A3" w14:paraId="77B7EE52" w14:textId="77777777" w:rsidTr="003279E9">
        <w:trPr>
          <w:trHeight w:val="159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88F0" w14:textId="77777777" w:rsidR="00B470A3" w:rsidRPr="00570EC9" w:rsidRDefault="00B470A3" w:rsidP="003279E9">
            <w:pPr>
              <w:ind w:left="80" w:right="8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 w:rsidRPr="00570EC9">
              <w:rPr>
                <w:rFonts w:ascii="Calibri" w:eastAsia="Calibri" w:hAnsi="Calibri" w:cs="Calibri"/>
                <w:b/>
                <w:sz w:val="30"/>
                <w:szCs w:val="30"/>
              </w:rPr>
              <w:t>BØRNS DAGLIGDAG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1C55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27BBBE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5A2E88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70A3" w14:paraId="3B5AAF2E" w14:textId="77777777" w:rsidTr="003279E9">
        <w:trPr>
          <w:trHeight w:val="159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B49A" w14:textId="77777777" w:rsidR="00B470A3" w:rsidRPr="00570EC9" w:rsidRDefault="00B470A3" w:rsidP="003279E9">
            <w:pPr>
              <w:ind w:left="80" w:right="8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 w:rsidRPr="00570EC9">
              <w:rPr>
                <w:rFonts w:ascii="Calibri" w:eastAsia="Calibri" w:hAnsi="Calibri" w:cs="Calibri"/>
                <w:b/>
                <w:sz w:val="30"/>
                <w:szCs w:val="30"/>
              </w:rPr>
              <w:lastRenderedPageBreak/>
              <w:t xml:space="preserve">SOCIALT LIV 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58AE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8DD1CC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B636A1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70A3" w14:paraId="7709411A" w14:textId="77777777" w:rsidTr="003279E9">
        <w:trPr>
          <w:trHeight w:val="159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58BF" w14:textId="77777777" w:rsidR="00B470A3" w:rsidRPr="00570EC9" w:rsidRDefault="00B470A3" w:rsidP="003279E9">
            <w:pPr>
              <w:ind w:left="80" w:right="8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 w:rsidRPr="00570EC9">
              <w:rPr>
                <w:rFonts w:ascii="Calibri" w:eastAsia="Calibri" w:hAnsi="Calibri" w:cs="Calibri"/>
                <w:b/>
                <w:sz w:val="30"/>
                <w:szCs w:val="30"/>
              </w:rPr>
              <w:t>ØKONOMISK SITUATION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537A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B6316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B50EE6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70A3" w14:paraId="55097A91" w14:textId="77777777" w:rsidTr="003279E9">
        <w:trPr>
          <w:trHeight w:val="159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8174" w14:textId="77777777" w:rsidR="00B470A3" w:rsidRPr="00570EC9" w:rsidRDefault="00B470A3" w:rsidP="003279E9">
            <w:pPr>
              <w:ind w:left="80" w:right="8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 w:rsidRPr="00570EC9">
              <w:rPr>
                <w:rFonts w:ascii="Calibri" w:eastAsia="Calibri" w:hAnsi="Calibri" w:cs="Calibri"/>
                <w:b/>
                <w:sz w:val="30"/>
                <w:szCs w:val="30"/>
              </w:rPr>
              <w:t>ANDET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050D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808941" w14:textId="77777777" w:rsidR="00B470A3" w:rsidRDefault="00B470A3" w:rsidP="003279E9">
            <w:pPr>
              <w:ind w:left="80" w:right="8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1E7208" w14:textId="77777777" w:rsidR="00B470A3" w:rsidRDefault="00B470A3" w:rsidP="003279E9">
            <w:pPr>
              <w:ind w:right="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AFE876" w14:textId="77777777" w:rsidR="00B470A3" w:rsidRPr="00D66262" w:rsidRDefault="00B470A3" w:rsidP="00B470A3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6275E443" w14:textId="77777777" w:rsidR="00B470A3" w:rsidRPr="00661330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Lad g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rupperne udvælge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tre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forbud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, som de mener, ramte den jødiske befolkning hård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softHyphen/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est. De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skal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skrive forbuddene på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post-</w:t>
      </w:r>
      <w:proofErr w:type="spellStart"/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its</w:t>
      </w:r>
      <w:proofErr w:type="spellEnd"/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og hænge dem op på væggen i klassen. </w:t>
      </w:r>
    </w:p>
    <w:p w14:paraId="5FC2BFAC" w14:textId="77777777" w:rsidR="00B470A3" w:rsidRPr="002279EF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</w:pP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Grupperne præsenterer på skift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deres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udvalgte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forbud. I præsentationen skal de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argumentere for valget og redegøre for de refleksioner og diskus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softHyphen/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sioner, de havde undervejs. </w:t>
      </w:r>
      <w:r w:rsidRPr="002279EF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</w:t>
      </w:r>
    </w:p>
    <w:p w14:paraId="4D400173" w14:textId="77777777" w:rsidR="00B470A3" w:rsidRPr="00661330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</w:pP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Tag en fælles diskussion af, hvad nazisternes mål med de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forbuddene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var, og hvor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softHyphen/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for den øvrige tyske befolkning ikke reagerede me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re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kraftigt på indskrænkningen i deres jødiske medborgeres frihed og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forværringen af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levevilkår. Som lærer kan du lede diskussionen hen på relevante emner som dehumanisering, antisemitisme, udgrænsning og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ambitionen om </w:t>
      </w:r>
      <w:proofErr w:type="spellStart"/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Lebensraum</w:t>
      </w:r>
      <w:proofErr w:type="spellEnd"/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. </w:t>
      </w:r>
    </w:p>
    <w:p w14:paraId="2B847C0F" w14:textId="77777777" w:rsidR="00B470A3" w:rsidRPr="00661330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Introducér eleverne til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FN’s Verdenserklæring om menneskerettighederne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:</w:t>
      </w:r>
      <w:r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</w:t>
      </w:r>
      <w:hyperlink r:id="rId5" w:history="1">
        <w:r w:rsidRPr="00661330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https://unric.org/da/verdenserklaeringen-om-menneskerettighederne/</w:t>
        </w:r>
      </w:hyperlink>
      <w:r w:rsidRPr="00661330"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color w:val="222222"/>
          <w:sz w:val="24"/>
          <w:szCs w:val="24"/>
        </w:rPr>
        <w:br/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Fortæl eleverne, at erklæringen blev formuleret for at beskytte mennesker mod netop den type restriktioner, som nazisterne indførte. </w:t>
      </w:r>
    </w:p>
    <w:p w14:paraId="149818C7" w14:textId="77777777" w:rsidR="00B470A3" w:rsidRPr="00661330" w:rsidRDefault="00B470A3" w:rsidP="00B470A3">
      <w:pPr>
        <w:spacing w:line="240" w:lineRule="auto"/>
        <w:ind w:left="720"/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Nu er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opgave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n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at grupperne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udpege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r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de artikler i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M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enneskerettighedserklæringen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,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som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modsvarer de tre restriktioner, de hang op på væggen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før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.</w:t>
      </w:r>
    </w:p>
    <w:p w14:paraId="29FB4F27" w14:textId="77777777" w:rsidR="00B470A3" w:rsidRPr="00661330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</w:pP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Tag en runde, hvor hver gruppe fremlægger hvilke menneskerettigheder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,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der modsvarer de udvalgte restriktioner. </w:t>
      </w:r>
    </w:p>
    <w:p w14:paraId="2EE1E6D8" w14:textId="135D1C8C" w:rsidR="00D5181F" w:rsidRPr="00B470A3" w:rsidRDefault="00B470A3" w:rsidP="00B470A3">
      <w:pPr>
        <w:numPr>
          <w:ilvl w:val="0"/>
          <w:numId w:val="3"/>
        </w:numPr>
        <w:spacing w:line="240" w:lineRule="auto"/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</w:pP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Fælles opsamling hvor eleverne reflekterer over, hvad de har lært om restriktioner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, 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rettigheder</w:t>
      </w:r>
      <w:r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 xml:space="preserve"> og konsekvenserne for minoriteter når diskrimination indføres ved lov</w:t>
      </w:r>
      <w:r w:rsidRPr="00661330">
        <w:rPr>
          <w:rFonts w:asciiTheme="majorHAnsi" w:eastAsia="Calibri" w:hAnsiTheme="majorHAnsi" w:cstheme="majorHAnsi"/>
          <w:color w:val="222222"/>
          <w:sz w:val="24"/>
          <w:szCs w:val="24"/>
          <w:highlight w:val="white"/>
        </w:rPr>
        <w:t>.</w:t>
      </w:r>
    </w:p>
    <w:sectPr w:rsidR="00D5181F" w:rsidRPr="00B470A3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3F16"/>
    <w:multiLevelType w:val="multilevel"/>
    <w:tmpl w:val="E60E60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FA47C2"/>
    <w:multiLevelType w:val="multilevel"/>
    <w:tmpl w:val="5F0E01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B4639E"/>
    <w:multiLevelType w:val="hybridMultilevel"/>
    <w:tmpl w:val="BF8AC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48A4"/>
    <w:multiLevelType w:val="multilevel"/>
    <w:tmpl w:val="3BC0C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33036128">
    <w:abstractNumId w:val="0"/>
  </w:num>
  <w:num w:numId="2" w16cid:durableId="507990585">
    <w:abstractNumId w:val="2"/>
  </w:num>
  <w:num w:numId="3" w16cid:durableId="1652713324">
    <w:abstractNumId w:val="1"/>
  </w:num>
  <w:num w:numId="4" w16cid:durableId="12740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A8"/>
    <w:rsid w:val="000771A6"/>
    <w:rsid w:val="005B263A"/>
    <w:rsid w:val="005F77D5"/>
    <w:rsid w:val="00851EE4"/>
    <w:rsid w:val="00B11332"/>
    <w:rsid w:val="00B470A3"/>
    <w:rsid w:val="00D5181F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2CB31"/>
  <w15:chartTrackingRefBased/>
  <w15:docId w15:val="{50F0435A-3832-7D49-85E3-A0DE04D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A8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67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C67A8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1E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" w:eastAsia="da-DK"/>
    </w:rPr>
  </w:style>
  <w:style w:type="paragraph" w:styleId="Listeafsnit">
    <w:name w:val="List Paragraph"/>
    <w:basedOn w:val="Normal"/>
    <w:uiPriority w:val="34"/>
    <w:qFormat/>
    <w:rsid w:val="000771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2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ric.org/da/verdenserklaeringen-om-menneskerettigheder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4</cp:revision>
  <dcterms:created xsi:type="dcterms:W3CDTF">2023-03-08T10:10:00Z</dcterms:created>
  <dcterms:modified xsi:type="dcterms:W3CDTF">2023-03-08T10:12:00Z</dcterms:modified>
</cp:coreProperties>
</file>